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Human Lifespan Development Unit A Test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Sarah 42 and Kevin 46 have 3 children aged Toby 13, Nancy 11 and Iris 2. Their children have followed a normal pattern of development.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Explain with reference to fine and gross motor skills how Iris’s ability to grasp object has developed. 6 marks.</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Explain with reference to Piaget’s model of development the stages of intellectual development that Nancy has been through and the stage that she is currently in. 9 marks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Sarah and Iris had difficulty developing a secure bond after Iris’s birth. Describe Bowlby’s theory of attachment. Explain why they may have struggled to develop a secure bond. 5 marks </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Sarah is aware that in the next few years she will go through the menopause. State the term that describes this time and explain what physical changes she can expect to experience in the lead up to the menopause occurring. 6 marks</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 Explain the physical signs of aging that Kevin might go through over the next few years. 3 marks</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6. Toby is keen to become more independent of his family and often wants to go out with his friends. Explain how a peer group can influence an individual at this time.  10 marks</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