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06" w:rsidRPr="00E73406" w:rsidRDefault="00E73406" w:rsidP="00E73406">
      <w:pPr>
        <w:spacing w:before="120" w:after="120" w:line="240" w:lineRule="auto"/>
        <w:textAlignment w:val="baseline"/>
        <w:outlineLvl w:val="0"/>
        <w:rPr>
          <w:rFonts w:ascii="Arial" w:eastAsia="Times New Roman" w:hAnsi="Arial" w:cs="Arial"/>
          <w:b/>
          <w:bCs/>
          <w:color w:val="000000" w:themeColor="text1"/>
          <w:kern w:val="36"/>
          <w:sz w:val="36"/>
          <w:szCs w:val="45"/>
          <w:lang w:eastAsia="en-GB"/>
        </w:rPr>
      </w:pPr>
      <w:r w:rsidRPr="00E73406">
        <w:rPr>
          <w:rFonts w:ascii="Arial" w:eastAsia="Times New Roman" w:hAnsi="Arial" w:cs="Arial"/>
          <w:b/>
          <w:bCs/>
          <w:color w:val="000000" w:themeColor="text1"/>
          <w:kern w:val="36"/>
          <w:sz w:val="36"/>
          <w:szCs w:val="45"/>
          <w:lang w:eastAsia="en-GB"/>
        </w:rPr>
        <w:t>2. Prevention and health promotion</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bookmarkStart w:id="0" w:name="top"/>
      <w:bookmarkEnd w:id="0"/>
      <w:r w:rsidRPr="00E73406">
        <w:rPr>
          <w:rFonts w:ascii="inherit" w:eastAsia="Times New Roman" w:hAnsi="inherit" w:cs="Times New Roman"/>
          <w:color w:val="000000" w:themeColor="text1"/>
          <w:sz w:val="21"/>
          <w:szCs w:val="21"/>
          <w:lang w:eastAsia="en-GB"/>
        </w:rPr>
        <w:t>There is a longstanding aspiration for the NHS to focus as much on promoting wellness as managing poor health and the NHS has a major contribution to make to the prevention of disease and the promotion of health across populations, working in partnership with local public health services through Health and Wellbeing Boards.</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England has persistent inequalities in life expectancy and healthy life expectancy between communities and groups. It is estimated that the cost of illness resulting from health inequality costs the NHS well in </w:t>
      </w:r>
      <w:hyperlink r:id="rId5" w:tooltip="Link to the The Marmot Review" w:history="1">
        <w:r w:rsidRPr="00E73406">
          <w:rPr>
            <w:rFonts w:ascii="inherit" w:eastAsia="Times New Roman" w:hAnsi="inherit" w:cs="Times New Roman"/>
            <w:color w:val="000000" w:themeColor="text1"/>
            <w:sz w:val="21"/>
            <w:szCs w:val="21"/>
            <w:u w:val="single"/>
            <w:bdr w:val="none" w:sz="0" w:space="0" w:color="auto" w:frame="1"/>
            <w:lang w:eastAsia="en-GB"/>
          </w:rPr>
          <w:t>excess of £5.5 billion per year and between £20 and £32 million in terms of lost taxes and higher welfare payments</w:t>
        </w:r>
      </w:hyperlink>
      <w:r w:rsidRPr="00E73406">
        <w:rPr>
          <w:rFonts w:ascii="inherit" w:eastAsia="Times New Roman" w:hAnsi="inherit" w:cs="Times New Roman"/>
          <w:color w:val="000000" w:themeColor="text1"/>
          <w:sz w:val="21"/>
          <w:szCs w:val="21"/>
          <w:lang w:eastAsia="en-GB"/>
        </w:rPr>
        <w:t>.</w:t>
      </w:r>
    </w:p>
    <w:p w:rsidR="00E73406" w:rsidRPr="00E73406" w:rsidRDefault="00E73406" w:rsidP="00E73406">
      <w:pPr>
        <w:spacing w:after="24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The NHS mandate sets out the need for collaborative and partnership working between NHS England, Public Health England, National and local government, the NHS and the CCGs. The following section is about population level interventions that the NHS and public health teams in local authorities could take joint action on which are aimed at preventing illness and better management of existing chronic illness.</w:t>
      </w:r>
    </w:p>
    <w:p w:rsidR="00E73406" w:rsidRPr="00E73406" w:rsidRDefault="00E73406" w:rsidP="00E73406">
      <w:pPr>
        <w:numPr>
          <w:ilvl w:val="0"/>
          <w:numId w:val="1"/>
        </w:numPr>
        <w:spacing w:after="0" w:line="360" w:lineRule="atLeast"/>
        <w:ind w:left="330"/>
        <w:textAlignment w:val="baseline"/>
        <w:rPr>
          <w:rFonts w:ascii="inherit" w:eastAsia="Times New Roman" w:hAnsi="inherit" w:cs="Times New Roman"/>
          <w:color w:val="000000" w:themeColor="text1"/>
          <w:sz w:val="21"/>
          <w:szCs w:val="21"/>
          <w:lang w:eastAsia="en-GB"/>
        </w:rPr>
      </w:pPr>
      <w:hyperlink r:id="rId6" w:anchor="two-one" w:history="1">
        <w:proofErr w:type="gramStart"/>
        <w:r w:rsidRPr="00E73406">
          <w:rPr>
            <w:rFonts w:ascii="inherit" w:eastAsia="Times New Roman" w:hAnsi="inherit" w:cs="Times New Roman"/>
            <w:color w:val="000000" w:themeColor="text1"/>
            <w:sz w:val="21"/>
            <w:szCs w:val="21"/>
            <w:bdr w:val="none" w:sz="0" w:space="0" w:color="auto" w:frame="1"/>
            <w:lang w:eastAsia="en-GB"/>
          </w:rPr>
          <w:t>2.1  Improving</w:t>
        </w:r>
        <w:proofErr w:type="gramEnd"/>
        <w:r w:rsidRPr="00E73406">
          <w:rPr>
            <w:rFonts w:ascii="inherit" w:eastAsia="Times New Roman" w:hAnsi="inherit" w:cs="Times New Roman"/>
            <w:color w:val="000000" w:themeColor="text1"/>
            <w:sz w:val="21"/>
            <w:szCs w:val="21"/>
            <w:bdr w:val="none" w:sz="0" w:space="0" w:color="auto" w:frame="1"/>
            <w:lang w:eastAsia="en-GB"/>
          </w:rPr>
          <w:t xml:space="preserve"> general practice – a call to action</w:t>
        </w:r>
      </w:hyperlink>
    </w:p>
    <w:p w:rsidR="00E73406" w:rsidRPr="00E73406" w:rsidRDefault="00E73406" w:rsidP="00E73406">
      <w:pPr>
        <w:numPr>
          <w:ilvl w:val="0"/>
          <w:numId w:val="1"/>
        </w:numPr>
        <w:spacing w:after="0" w:line="360" w:lineRule="atLeast"/>
        <w:ind w:left="330"/>
        <w:textAlignment w:val="baseline"/>
        <w:rPr>
          <w:rFonts w:ascii="inherit" w:eastAsia="Times New Roman" w:hAnsi="inherit" w:cs="Times New Roman"/>
          <w:color w:val="000000" w:themeColor="text1"/>
          <w:sz w:val="21"/>
          <w:szCs w:val="21"/>
          <w:lang w:eastAsia="en-GB"/>
        </w:rPr>
      </w:pPr>
      <w:hyperlink r:id="rId7" w:anchor="two-two" w:history="1">
        <w:proofErr w:type="gramStart"/>
        <w:r w:rsidRPr="00E73406">
          <w:rPr>
            <w:rFonts w:ascii="inherit" w:eastAsia="Times New Roman" w:hAnsi="inherit" w:cs="Times New Roman"/>
            <w:color w:val="000000" w:themeColor="text1"/>
            <w:sz w:val="21"/>
            <w:szCs w:val="21"/>
            <w:bdr w:val="none" w:sz="0" w:space="0" w:color="auto" w:frame="1"/>
            <w:lang w:eastAsia="en-GB"/>
          </w:rPr>
          <w:t>2.2  Supporting</w:t>
        </w:r>
        <w:proofErr w:type="gramEnd"/>
        <w:r w:rsidRPr="00E73406">
          <w:rPr>
            <w:rFonts w:ascii="inherit" w:eastAsia="Times New Roman" w:hAnsi="inherit" w:cs="Times New Roman"/>
            <w:color w:val="000000" w:themeColor="text1"/>
            <w:sz w:val="21"/>
            <w:szCs w:val="21"/>
            <w:bdr w:val="none" w:sz="0" w:space="0" w:color="auto" w:frame="1"/>
            <w:lang w:eastAsia="en-GB"/>
          </w:rPr>
          <w:t xml:space="preserve"> the NHS to tackle health inequalities</w:t>
        </w:r>
      </w:hyperlink>
    </w:p>
    <w:p w:rsidR="00E73406" w:rsidRPr="00E73406" w:rsidRDefault="00E73406" w:rsidP="00E73406">
      <w:pPr>
        <w:numPr>
          <w:ilvl w:val="0"/>
          <w:numId w:val="1"/>
        </w:numPr>
        <w:spacing w:after="0" w:line="360" w:lineRule="atLeast"/>
        <w:ind w:left="330"/>
        <w:textAlignment w:val="baseline"/>
        <w:rPr>
          <w:rFonts w:ascii="inherit" w:eastAsia="Times New Roman" w:hAnsi="inherit" w:cs="Times New Roman"/>
          <w:color w:val="000000" w:themeColor="text1"/>
          <w:sz w:val="21"/>
          <w:szCs w:val="21"/>
          <w:lang w:eastAsia="en-GB"/>
        </w:rPr>
      </w:pPr>
      <w:hyperlink r:id="rId8" w:anchor="two-three" w:history="1">
        <w:proofErr w:type="gramStart"/>
        <w:r w:rsidRPr="00E73406">
          <w:rPr>
            <w:rFonts w:ascii="inherit" w:eastAsia="Times New Roman" w:hAnsi="inherit" w:cs="Times New Roman"/>
            <w:color w:val="000000" w:themeColor="text1"/>
            <w:sz w:val="21"/>
            <w:szCs w:val="21"/>
            <w:bdr w:val="none" w:sz="0" w:space="0" w:color="auto" w:frame="1"/>
            <w:lang w:eastAsia="en-GB"/>
          </w:rPr>
          <w:t>2.3  Supporting</w:t>
        </w:r>
        <w:proofErr w:type="gramEnd"/>
        <w:r w:rsidRPr="00E73406">
          <w:rPr>
            <w:rFonts w:ascii="inherit" w:eastAsia="Times New Roman" w:hAnsi="inherit" w:cs="Times New Roman"/>
            <w:color w:val="000000" w:themeColor="text1"/>
            <w:sz w:val="21"/>
            <w:szCs w:val="21"/>
            <w:bdr w:val="none" w:sz="0" w:space="0" w:color="auto" w:frame="1"/>
            <w:lang w:eastAsia="en-GB"/>
          </w:rPr>
          <w:t xml:space="preserve"> behaviour change ‘Making Every Contact Count’</w:t>
        </w:r>
      </w:hyperlink>
    </w:p>
    <w:p w:rsidR="00E73406" w:rsidRPr="00E73406" w:rsidRDefault="00E73406" w:rsidP="00E73406">
      <w:pPr>
        <w:numPr>
          <w:ilvl w:val="0"/>
          <w:numId w:val="1"/>
        </w:numPr>
        <w:spacing w:after="0" w:line="360" w:lineRule="atLeast"/>
        <w:ind w:left="330"/>
        <w:textAlignment w:val="baseline"/>
        <w:rPr>
          <w:rFonts w:ascii="inherit" w:eastAsia="Times New Roman" w:hAnsi="inherit" w:cs="Times New Roman"/>
          <w:color w:val="000000" w:themeColor="text1"/>
          <w:sz w:val="21"/>
          <w:szCs w:val="21"/>
          <w:lang w:eastAsia="en-GB"/>
        </w:rPr>
      </w:pPr>
      <w:hyperlink r:id="rId9" w:anchor="two-four" w:history="1">
        <w:proofErr w:type="gramStart"/>
        <w:r w:rsidRPr="00E73406">
          <w:rPr>
            <w:rFonts w:ascii="inherit" w:eastAsia="Times New Roman" w:hAnsi="inherit" w:cs="Times New Roman"/>
            <w:color w:val="000000" w:themeColor="text1"/>
            <w:sz w:val="21"/>
            <w:szCs w:val="21"/>
            <w:bdr w:val="none" w:sz="0" w:space="0" w:color="auto" w:frame="1"/>
            <w:lang w:eastAsia="en-GB"/>
          </w:rPr>
          <w:t>2.4  Commissioning</w:t>
        </w:r>
        <w:proofErr w:type="gramEnd"/>
        <w:r w:rsidRPr="00E73406">
          <w:rPr>
            <w:rFonts w:ascii="inherit" w:eastAsia="Times New Roman" w:hAnsi="inherit" w:cs="Times New Roman"/>
            <w:color w:val="000000" w:themeColor="text1"/>
            <w:sz w:val="21"/>
            <w:szCs w:val="21"/>
            <w:bdr w:val="none" w:sz="0" w:space="0" w:color="auto" w:frame="1"/>
            <w:lang w:eastAsia="en-GB"/>
          </w:rPr>
          <w:t xml:space="preserve"> effective smoking cessation referral services</w:t>
        </w:r>
      </w:hyperlink>
    </w:p>
    <w:p w:rsidR="00E73406" w:rsidRPr="00E73406" w:rsidRDefault="00E73406" w:rsidP="00E73406">
      <w:pPr>
        <w:numPr>
          <w:ilvl w:val="0"/>
          <w:numId w:val="1"/>
        </w:numPr>
        <w:spacing w:after="0" w:line="360" w:lineRule="atLeast"/>
        <w:ind w:left="330"/>
        <w:textAlignment w:val="baseline"/>
        <w:rPr>
          <w:rFonts w:ascii="inherit" w:eastAsia="Times New Roman" w:hAnsi="inherit" w:cs="Times New Roman"/>
          <w:color w:val="000000" w:themeColor="text1"/>
          <w:sz w:val="21"/>
          <w:szCs w:val="21"/>
          <w:lang w:eastAsia="en-GB"/>
        </w:rPr>
      </w:pPr>
      <w:hyperlink r:id="rId10" w:anchor="two-five" w:history="1">
        <w:proofErr w:type="gramStart"/>
        <w:r w:rsidRPr="00E73406">
          <w:rPr>
            <w:rFonts w:ascii="inherit" w:eastAsia="Times New Roman" w:hAnsi="inherit" w:cs="Times New Roman"/>
            <w:color w:val="000000" w:themeColor="text1"/>
            <w:sz w:val="21"/>
            <w:szCs w:val="21"/>
            <w:bdr w:val="none" w:sz="0" w:space="0" w:color="auto" w:frame="1"/>
            <w:lang w:eastAsia="en-GB"/>
          </w:rPr>
          <w:t>2.5  Management</w:t>
        </w:r>
        <w:proofErr w:type="gramEnd"/>
        <w:r w:rsidRPr="00E73406">
          <w:rPr>
            <w:rFonts w:ascii="inherit" w:eastAsia="Times New Roman" w:hAnsi="inherit" w:cs="Times New Roman"/>
            <w:color w:val="000000" w:themeColor="text1"/>
            <w:sz w:val="21"/>
            <w:szCs w:val="21"/>
            <w:bdr w:val="none" w:sz="0" w:space="0" w:color="auto" w:frame="1"/>
            <w:lang w:eastAsia="en-GB"/>
          </w:rPr>
          <w:t xml:space="preserve"> of excess alcohol consumption</w:t>
        </w:r>
      </w:hyperlink>
    </w:p>
    <w:p w:rsidR="00E73406" w:rsidRPr="00E73406" w:rsidRDefault="00E73406" w:rsidP="00E73406">
      <w:pPr>
        <w:numPr>
          <w:ilvl w:val="0"/>
          <w:numId w:val="1"/>
        </w:numPr>
        <w:spacing w:after="0" w:line="360" w:lineRule="atLeast"/>
        <w:ind w:left="330"/>
        <w:textAlignment w:val="baseline"/>
        <w:rPr>
          <w:rFonts w:ascii="inherit" w:eastAsia="Times New Roman" w:hAnsi="inherit" w:cs="Times New Roman"/>
          <w:color w:val="000000" w:themeColor="text1"/>
          <w:sz w:val="21"/>
          <w:szCs w:val="21"/>
          <w:lang w:eastAsia="en-GB"/>
        </w:rPr>
      </w:pPr>
      <w:hyperlink r:id="rId11" w:anchor="two-six" w:history="1">
        <w:proofErr w:type="gramStart"/>
        <w:r w:rsidRPr="00E73406">
          <w:rPr>
            <w:rFonts w:ascii="inherit" w:eastAsia="Times New Roman" w:hAnsi="inherit" w:cs="Times New Roman"/>
            <w:color w:val="000000" w:themeColor="text1"/>
            <w:sz w:val="21"/>
            <w:szCs w:val="21"/>
            <w:bdr w:val="none" w:sz="0" w:space="0" w:color="auto" w:frame="1"/>
            <w:lang w:eastAsia="en-GB"/>
          </w:rPr>
          <w:t>2.6  Improved</w:t>
        </w:r>
        <w:proofErr w:type="gramEnd"/>
        <w:r w:rsidRPr="00E73406">
          <w:rPr>
            <w:rFonts w:ascii="inherit" w:eastAsia="Times New Roman" w:hAnsi="inherit" w:cs="Times New Roman"/>
            <w:color w:val="000000" w:themeColor="text1"/>
            <w:sz w:val="21"/>
            <w:szCs w:val="21"/>
            <w:bdr w:val="none" w:sz="0" w:space="0" w:color="auto" w:frame="1"/>
            <w:lang w:eastAsia="en-GB"/>
          </w:rPr>
          <w:t xml:space="preserve"> detection and management of hypertension</w:t>
        </w:r>
      </w:hyperlink>
    </w:p>
    <w:p w:rsidR="00E73406" w:rsidRDefault="00E73406" w:rsidP="00E73406">
      <w:pPr>
        <w:spacing w:after="0" w:line="360" w:lineRule="atLeast"/>
        <w:textAlignment w:val="baseline"/>
        <w:rPr>
          <w:rFonts w:ascii="inherit" w:eastAsia="Times New Roman" w:hAnsi="inherit" w:cs="Times New Roman"/>
          <w:b/>
          <w:bCs/>
          <w:color w:val="000000" w:themeColor="text1"/>
          <w:sz w:val="21"/>
          <w:szCs w:val="21"/>
          <w:bdr w:val="none" w:sz="0" w:space="0" w:color="auto" w:frame="1"/>
          <w:lang w:eastAsia="en-GB"/>
        </w:rPr>
      </w:pPr>
      <w:bookmarkStart w:id="1" w:name="two-one"/>
      <w:bookmarkEnd w:id="1"/>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proofErr w:type="gramStart"/>
      <w:r w:rsidRPr="00E73406">
        <w:rPr>
          <w:rFonts w:ascii="inherit" w:eastAsia="Times New Roman" w:hAnsi="inherit" w:cs="Times New Roman"/>
          <w:b/>
          <w:bCs/>
          <w:color w:val="000000" w:themeColor="text1"/>
          <w:sz w:val="21"/>
          <w:szCs w:val="21"/>
          <w:bdr w:val="none" w:sz="0" w:space="0" w:color="auto" w:frame="1"/>
          <w:lang w:eastAsia="en-GB"/>
        </w:rPr>
        <w:t>2.1  Improving</w:t>
      </w:r>
      <w:proofErr w:type="gramEnd"/>
      <w:r w:rsidRPr="00E73406">
        <w:rPr>
          <w:rFonts w:ascii="inherit" w:eastAsia="Times New Roman" w:hAnsi="inherit" w:cs="Times New Roman"/>
          <w:b/>
          <w:bCs/>
          <w:color w:val="000000" w:themeColor="text1"/>
          <w:sz w:val="21"/>
          <w:szCs w:val="21"/>
          <w:bdr w:val="none" w:sz="0" w:space="0" w:color="auto" w:frame="1"/>
          <w:lang w:eastAsia="en-GB"/>
        </w:rPr>
        <w:t xml:space="preserve"> general practice – a call to action</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Issue:</w:t>
      </w:r>
      <w:r w:rsidRPr="00E73406">
        <w:rPr>
          <w:rFonts w:ascii="inherit" w:eastAsia="Times New Roman" w:hAnsi="inherit" w:cs="Times New Roman"/>
          <w:color w:val="000000" w:themeColor="text1"/>
          <w:sz w:val="21"/>
          <w:szCs w:val="21"/>
          <w:lang w:eastAsia="en-GB"/>
        </w:rPr>
        <w:t> General practice, and primary care more generally, have a strong contribution to make to reducing premature mortality through:</w:t>
      </w:r>
    </w:p>
    <w:p w:rsidR="00E73406" w:rsidRPr="00E73406" w:rsidRDefault="00E73406" w:rsidP="00E73406">
      <w:pPr>
        <w:numPr>
          <w:ilvl w:val="0"/>
          <w:numId w:val="2"/>
        </w:numPr>
        <w:spacing w:after="0" w:line="360" w:lineRule="atLeast"/>
        <w:ind w:left="330"/>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Promoting lifestyle changes;</w:t>
      </w:r>
    </w:p>
    <w:p w:rsidR="00E73406" w:rsidRPr="00E73406" w:rsidRDefault="00E73406" w:rsidP="00E73406">
      <w:pPr>
        <w:numPr>
          <w:ilvl w:val="0"/>
          <w:numId w:val="2"/>
        </w:numPr>
        <w:spacing w:after="0" w:line="360" w:lineRule="atLeast"/>
        <w:ind w:left="330"/>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Outreach to communities which are less likely to access services;</w:t>
      </w:r>
    </w:p>
    <w:p w:rsidR="00E73406" w:rsidRPr="00E73406" w:rsidRDefault="00E73406" w:rsidP="00E73406">
      <w:pPr>
        <w:numPr>
          <w:ilvl w:val="0"/>
          <w:numId w:val="2"/>
        </w:numPr>
        <w:spacing w:after="0" w:line="360" w:lineRule="atLeast"/>
        <w:ind w:left="330"/>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Ensuring patients are engaged and make an informed decision about participation in screening, and ensuring appropriate follow through;</w:t>
      </w:r>
    </w:p>
    <w:p w:rsidR="00E73406" w:rsidRPr="00E73406" w:rsidRDefault="00E73406" w:rsidP="00E73406">
      <w:pPr>
        <w:numPr>
          <w:ilvl w:val="0"/>
          <w:numId w:val="2"/>
        </w:numPr>
        <w:spacing w:after="0" w:line="360" w:lineRule="atLeast"/>
        <w:ind w:left="330"/>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Treating patients holistically in terms of mental and physical illness;</w:t>
      </w:r>
    </w:p>
    <w:p w:rsidR="00E73406" w:rsidRPr="00E73406" w:rsidRDefault="00E73406" w:rsidP="00E73406">
      <w:pPr>
        <w:numPr>
          <w:ilvl w:val="0"/>
          <w:numId w:val="2"/>
        </w:numPr>
        <w:spacing w:after="0" w:line="360" w:lineRule="atLeast"/>
        <w:ind w:left="330"/>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Promoting effective self-management for people with long-term conditions; and</w:t>
      </w:r>
    </w:p>
    <w:p w:rsidR="00E73406" w:rsidRPr="00E73406" w:rsidRDefault="00E73406" w:rsidP="00E73406">
      <w:pPr>
        <w:numPr>
          <w:ilvl w:val="0"/>
          <w:numId w:val="2"/>
        </w:numPr>
        <w:spacing w:after="0" w:line="360" w:lineRule="atLeast"/>
        <w:ind w:left="330"/>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Improving the management of comorbidities.</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Commitment:  </w:t>
      </w:r>
      <w:r w:rsidRPr="00E73406">
        <w:rPr>
          <w:rFonts w:ascii="inherit" w:eastAsia="Times New Roman" w:hAnsi="inherit" w:cs="Times New Roman"/>
          <w:color w:val="000000" w:themeColor="text1"/>
          <w:sz w:val="21"/>
          <w:szCs w:val="21"/>
          <w:lang w:eastAsia="en-GB"/>
        </w:rPr>
        <w:t>Through the development of a primary care strategy NHS England will seek to maximise the contribution that general practice can make to reducing premature mortality.</w:t>
      </w:r>
    </w:p>
    <w:p w:rsidR="00E73406" w:rsidRDefault="00E73406" w:rsidP="00E73406">
      <w:pPr>
        <w:spacing w:after="0" w:line="360" w:lineRule="atLeast"/>
        <w:textAlignment w:val="baseline"/>
        <w:rPr>
          <w:rFonts w:ascii="inherit" w:eastAsia="Times New Roman" w:hAnsi="inherit" w:cs="Times New Roman"/>
          <w:b/>
          <w:bCs/>
          <w:color w:val="000000" w:themeColor="text1"/>
          <w:sz w:val="21"/>
          <w:szCs w:val="21"/>
          <w:bdr w:val="none" w:sz="0" w:space="0" w:color="auto" w:frame="1"/>
          <w:lang w:eastAsia="en-GB"/>
        </w:rPr>
      </w:pPr>
      <w:bookmarkStart w:id="2" w:name="two-two"/>
      <w:bookmarkEnd w:id="2"/>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proofErr w:type="gramStart"/>
      <w:r w:rsidRPr="00E73406">
        <w:rPr>
          <w:rFonts w:ascii="inherit" w:eastAsia="Times New Roman" w:hAnsi="inherit" w:cs="Times New Roman"/>
          <w:b/>
          <w:bCs/>
          <w:color w:val="000000" w:themeColor="text1"/>
          <w:sz w:val="21"/>
          <w:szCs w:val="21"/>
          <w:bdr w:val="none" w:sz="0" w:space="0" w:color="auto" w:frame="1"/>
          <w:lang w:eastAsia="en-GB"/>
        </w:rPr>
        <w:t>2.2  Supporting</w:t>
      </w:r>
      <w:proofErr w:type="gramEnd"/>
      <w:r w:rsidRPr="00E73406">
        <w:rPr>
          <w:rFonts w:ascii="inherit" w:eastAsia="Times New Roman" w:hAnsi="inherit" w:cs="Times New Roman"/>
          <w:b/>
          <w:bCs/>
          <w:color w:val="000000" w:themeColor="text1"/>
          <w:sz w:val="21"/>
          <w:szCs w:val="21"/>
          <w:bdr w:val="none" w:sz="0" w:space="0" w:color="auto" w:frame="1"/>
          <w:lang w:eastAsia="en-GB"/>
        </w:rPr>
        <w:t xml:space="preserve"> the NHS to tackle health inequalities</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Issue:</w:t>
      </w:r>
      <w:r w:rsidRPr="00E73406">
        <w:rPr>
          <w:rFonts w:ascii="inherit" w:eastAsia="Times New Roman" w:hAnsi="inherit" w:cs="Times New Roman"/>
          <w:color w:val="000000" w:themeColor="text1"/>
          <w:sz w:val="21"/>
          <w:szCs w:val="21"/>
          <w:lang w:eastAsia="en-GB"/>
        </w:rPr>
        <w:t> There is a pronounced socio-economic gradient in the prevalence of all major long-term conditions, in life expectancy and in healthy-life expectancy and it is estimated that healthcare is responsible for 15-20 percent of inequalities-related mortality.</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lastRenderedPageBreak/>
        <w:t>Commitment:</w:t>
      </w:r>
      <w:r w:rsidRPr="00E73406">
        <w:rPr>
          <w:rFonts w:ascii="inherit" w:eastAsia="Times New Roman" w:hAnsi="inherit" w:cs="Times New Roman"/>
          <w:color w:val="000000" w:themeColor="text1"/>
          <w:sz w:val="21"/>
          <w:szCs w:val="21"/>
          <w:lang w:eastAsia="en-GB"/>
        </w:rPr>
        <w:t>  NHS England is working with the Commissioning Assembly Health Inequalities working group to produce a ‘Commissioning to Reduce Health Inequalities Toolkit’ planned for April 2014, which will provide a practical resource to CCGs with evidence, implementation guidance and links to successful models of commissioning.</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hyperlink r:id="rId12" w:tgtFrame="_blank" w:tooltip="Downlaod a copy fo the factsheet on supporting the NHS to tackle health inequalities" w:history="1">
        <w:r w:rsidRPr="00E73406">
          <w:rPr>
            <w:rFonts w:ascii="inherit" w:eastAsia="Times New Roman" w:hAnsi="inherit" w:cs="Times New Roman"/>
            <w:color w:val="000000" w:themeColor="text1"/>
            <w:sz w:val="21"/>
            <w:szCs w:val="21"/>
            <w:u w:val="single"/>
            <w:bdr w:val="none" w:sz="0" w:space="0" w:color="auto" w:frame="1"/>
            <w:lang w:eastAsia="en-GB"/>
          </w:rPr>
          <w:t>Factsheet on supporting the NHS to tackle health inequalities</w:t>
        </w:r>
      </w:hyperlink>
    </w:p>
    <w:p w:rsidR="00E73406" w:rsidRDefault="00E73406" w:rsidP="00E73406">
      <w:pPr>
        <w:spacing w:after="0" w:line="360" w:lineRule="atLeast"/>
        <w:textAlignment w:val="baseline"/>
        <w:rPr>
          <w:rFonts w:ascii="inherit" w:eastAsia="Times New Roman" w:hAnsi="inherit" w:cs="Times New Roman"/>
          <w:b/>
          <w:bCs/>
          <w:color w:val="000000" w:themeColor="text1"/>
          <w:sz w:val="21"/>
          <w:szCs w:val="21"/>
          <w:bdr w:val="none" w:sz="0" w:space="0" w:color="auto" w:frame="1"/>
          <w:lang w:eastAsia="en-GB"/>
        </w:rPr>
      </w:pPr>
      <w:bookmarkStart w:id="3" w:name="two-three"/>
      <w:bookmarkEnd w:id="3"/>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proofErr w:type="gramStart"/>
      <w:r w:rsidRPr="00E73406">
        <w:rPr>
          <w:rFonts w:ascii="inherit" w:eastAsia="Times New Roman" w:hAnsi="inherit" w:cs="Times New Roman"/>
          <w:b/>
          <w:bCs/>
          <w:color w:val="000000" w:themeColor="text1"/>
          <w:sz w:val="21"/>
          <w:szCs w:val="21"/>
          <w:bdr w:val="none" w:sz="0" w:space="0" w:color="auto" w:frame="1"/>
          <w:lang w:eastAsia="en-GB"/>
        </w:rPr>
        <w:t>2.3  Supporting</w:t>
      </w:r>
      <w:proofErr w:type="gramEnd"/>
      <w:r w:rsidRPr="00E73406">
        <w:rPr>
          <w:rFonts w:ascii="inherit" w:eastAsia="Times New Roman" w:hAnsi="inherit" w:cs="Times New Roman"/>
          <w:b/>
          <w:bCs/>
          <w:color w:val="000000" w:themeColor="text1"/>
          <w:sz w:val="21"/>
          <w:szCs w:val="21"/>
          <w:bdr w:val="none" w:sz="0" w:space="0" w:color="auto" w:frame="1"/>
          <w:lang w:eastAsia="en-GB"/>
        </w:rPr>
        <w:t xml:space="preserve"> behaviour change ‘Making Every Contact Count’</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Issue:</w:t>
      </w:r>
      <w:r w:rsidRPr="00E73406">
        <w:rPr>
          <w:rFonts w:ascii="inherit" w:eastAsia="Times New Roman" w:hAnsi="inherit" w:cs="Times New Roman"/>
          <w:color w:val="000000" w:themeColor="text1"/>
          <w:sz w:val="21"/>
          <w:szCs w:val="21"/>
          <w:lang w:eastAsia="en-GB"/>
        </w:rPr>
        <w:t> Opportunities exist to promote the benefits of healthy lifestyles through routine contacts that people have with health services, by engaging individuals in conversations which support them in the steps they wish to take towards a healthier lifestyle. This includes provision of information, signposting or referral for individual support, and encouragement for behaviour change.</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Suggested action:</w:t>
      </w:r>
      <w:r w:rsidRPr="00E73406">
        <w:rPr>
          <w:rFonts w:ascii="inherit" w:eastAsia="Times New Roman" w:hAnsi="inherit" w:cs="Times New Roman"/>
          <w:color w:val="000000" w:themeColor="text1"/>
          <w:sz w:val="21"/>
          <w:szCs w:val="21"/>
          <w:lang w:eastAsia="en-GB"/>
        </w:rPr>
        <w:t>  Implement a programme to train staff to deliver evidence-based very brief and brief interventions to support behaviour change (including stopping smoking, increasing physical activity, improving diet, reducing alcohol consumption and improving mental wellbeing), with support in place from behaviour change specialists and others to provide extended brief interventions for people who are high risk.</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hyperlink r:id="rId13" w:history="1">
        <w:r w:rsidRPr="00E73406">
          <w:rPr>
            <w:rFonts w:ascii="inherit" w:eastAsia="Times New Roman" w:hAnsi="inherit" w:cs="Times New Roman"/>
            <w:color w:val="000000" w:themeColor="text1"/>
            <w:sz w:val="21"/>
            <w:szCs w:val="21"/>
            <w:u w:val="single"/>
            <w:bdr w:val="none" w:sz="0" w:space="0" w:color="auto" w:frame="1"/>
            <w:lang w:eastAsia="en-GB"/>
          </w:rPr>
          <w:t>NICE guidance on individual behaviour change</w:t>
        </w:r>
      </w:hyperlink>
      <w:r w:rsidRPr="00E73406">
        <w:rPr>
          <w:rFonts w:ascii="inherit" w:eastAsia="Times New Roman" w:hAnsi="inherit" w:cs="Times New Roman"/>
          <w:color w:val="000000" w:themeColor="text1"/>
          <w:sz w:val="21"/>
          <w:szCs w:val="21"/>
          <w:lang w:eastAsia="en-GB"/>
        </w:rPr>
        <w:t> recommends that behaviour change interventions are integrated within clinical pathways and sets out how this can be commissioned effectively.</w:t>
      </w:r>
    </w:p>
    <w:p w:rsidR="00E73406" w:rsidRPr="00E73406" w:rsidRDefault="00E73406" w:rsidP="00E73406">
      <w:pPr>
        <w:spacing w:after="24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At a national level the role of NHS England is to provide clinical leadership, and support the use of commissioning levers for the integration of behaviour change into clinical pathways.</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 xml:space="preserve">NHS England’s Medical and Nursing Directorates are working to promote commissioning of behaviour change interventions, both in NHS England’s direct commissioning and in support of other NHS commissioning organisations. We are working in close partnership with Public Health England, Health Education England and the Local Government Association, to ensure that communities and individuals, including our own staff, have the support they need to live longer and maintain their health, wellbeing and independence. These organisations have </w:t>
      </w:r>
      <w:proofErr w:type="spellStart"/>
      <w:r w:rsidRPr="00E73406">
        <w:rPr>
          <w:rFonts w:ascii="inherit" w:eastAsia="Times New Roman" w:hAnsi="inherit" w:cs="Times New Roman"/>
          <w:color w:val="000000" w:themeColor="text1"/>
          <w:sz w:val="21"/>
          <w:szCs w:val="21"/>
          <w:lang w:eastAsia="en-GB"/>
        </w:rPr>
        <w:t>signaled</w:t>
      </w:r>
      <w:proofErr w:type="spellEnd"/>
      <w:r w:rsidRPr="00E73406">
        <w:rPr>
          <w:rFonts w:ascii="inherit" w:eastAsia="Times New Roman" w:hAnsi="inherit" w:cs="Times New Roman"/>
          <w:color w:val="000000" w:themeColor="text1"/>
          <w:sz w:val="21"/>
          <w:szCs w:val="21"/>
          <w:lang w:eastAsia="en-GB"/>
        </w:rPr>
        <w:t xml:space="preserve"> their commitment to Making Every Contact Count through the publication of </w:t>
      </w:r>
      <w:proofErr w:type="spellStart"/>
      <w:r w:rsidRPr="00E73406">
        <w:rPr>
          <w:rFonts w:ascii="inherit" w:eastAsia="Times New Roman" w:hAnsi="inherit" w:cs="Times New Roman"/>
          <w:color w:val="000000" w:themeColor="text1"/>
          <w:sz w:val="21"/>
          <w:szCs w:val="21"/>
          <w:lang w:eastAsia="en-GB"/>
        </w:rPr>
        <w:t>the</w:t>
      </w:r>
      <w:hyperlink r:id="rId14" w:history="1">
        <w:r w:rsidRPr="00E73406">
          <w:rPr>
            <w:rFonts w:ascii="inherit" w:eastAsia="Times New Roman" w:hAnsi="inherit" w:cs="Times New Roman"/>
            <w:color w:val="000000" w:themeColor="text1"/>
            <w:sz w:val="21"/>
            <w:szCs w:val="21"/>
            <w:u w:val="single"/>
            <w:bdr w:val="none" w:sz="0" w:space="0" w:color="auto" w:frame="1"/>
            <w:lang w:eastAsia="en-GB"/>
          </w:rPr>
          <w:t>Making</w:t>
        </w:r>
        <w:proofErr w:type="spellEnd"/>
        <w:r w:rsidRPr="00E73406">
          <w:rPr>
            <w:rFonts w:ascii="inherit" w:eastAsia="Times New Roman" w:hAnsi="inherit" w:cs="Times New Roman"/>
            <w:color w:val="000000" w:themeColor="text1"/>
            <w:sz w:val="21"/>
            <w:szCs w:val="21"/>
            <w:u w:val="single"/>
            <w:bdr w:val="none" w:sz="0" w:space="0" w:color="auto" w:frame="1"/>
            <w:lang w:eastAsia="en-GB"/>
          </w:rPr>
          <w:t xml:space="preserve"> Every Contact Count Consensus Statement</w:t>
        </w:r>
      </w:hyperlink>
      <w:r w:rsidRPr="00E73406">
        <w:rPr>
          <w:rFonts w:ascii="inherit" w:eastAsia="Times New Roman" w:hAnsi="inherit" w:cs="Times New Roman"/>
          <w:color w:val="000000" w:themeColor="text1"/>
          <w:sz w:val="21"/>
          <w:szCs w:val="21"/>
          <w:lang w:eastAsia="en-GB"/>
        </w:rPr>
        <w:t>.</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The national Making Every Contact Count advisory group has </w:t>
      </w:r>
      <w:hyperlink r:id="rId15" w:history="1">
        <w:r w:rsidRPr="00E73406">
          <w:rPr>
            <w:rFonts w:ascii="inherit" w:eastAsia="Times New Roman" w:hAnsi="inherit" w:cs="Times New Roman"/>
            <w:color w:val="000000" w:themeColor="text1"/>
            <w:sz w:val="21"/>
            <w:szCs w:val="21"/>
            <w:u w:val="single"/>
            <w:bdr w:val="none" w:sz="0" w:space="0" w:color="auto" w:frame="1"/>
            <w:lang w:eastAsia="en-GB"/>
          </w:rPr>
          <w:t>published a series of practical resources to support local implementation</w:t>
        </w:r>
      </w:hyperlink>
      <w:r w:rsidRPr="00E73406">
        <w:rPr>
          <w:rFonts w:ascii="inherit" w:eastAsia="Times New Roman" w:hAnsi="inherit" w:cs="Times New Roman"/>
          <w:color w:val="000000" w:themeColor="text1"/>
          <w:sz w:val="21"/>
          <w:szCs w:val="21"/>
          <w:lang w:eastAsia="en-GB"/>
        </w:rPr>
        <w:t>.</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Information about resources developed by regional and area teams on ‘Making Every Contact Count’ are available on the </w:t>
      </w:r>
      <w:hyperlink r:id="rId16" w:history="1">
        <w:r w:rsidRPr="00E73406">
          <w:rPr>
            <w:rFonts w:ascii="inherit" w:eastAsia="Times New Roman" w:hAnsi="inherit" w:cs="Times New Roman"/>
            <w:color w:val="000000" w:themeColor="text1"/>
            <w:sz w:val="21"/>
            <w:szCs w:val="21"/>
            <w:u w:val="single"/>
            <w:bdr w:val="none" w:sz="0" w:space="0" w:color="auto" w:frame="1"/>
            <w:lang w:eastAsia="en-GB"/>
          </w:rPr>
          <w:t>‘Local initiatives’ section</w:t>
        </w:r>
      </w:hyperlink>
      <w:r w:rsidRPr="00E73406">
        <w:rPr>
          <w:rFonts w:ascii="inherit" w:eastAsia="Times New Roman" w:hAnsi="inherit" w:cs="Times New Roman"/>
          <w:color w:val="000000" w:themeColor="text1"/>
          <w:sz w:val="21"/>
          <w:szCs w:val="21"/>
          <w:lang w:eastAsia="en-GB"/>
        </w:rPr>
        <w:t> of these web pages</w:t>
      </w:r>
      <w:r w:rsidRPr="00E73406">
        <w:rPr>
          <w:rFonts w:ascii="inherit" w:eastAsia="Times New Roman" w:hAnsi="inherit" w:cs="Times New Roman"/>
          <w:b/>
          <w:bCs/>
          <w:color w:val="000000" w:themeColor="text1"/>
          <w:sz w:val="21"/>
          <w:szCs w:val="21"/>
          <w:bdr w:val="none" w:sz="0" w:space="0" w:color="auto" w:frame="1"/>
          <w:lang w:eastAsia="en-GB"/>
        </w:rPr>
        <w:t>.</w:t>
      </w:r>
    </w:p>
    <w:p w:rsidR="00E73406" w:rsidRDefault="00E73406" w:rsidP="00E73406">
      <w:pPr>
        <w:spacing w:after="0" w:line="360" w:lineRule="atLeast"/>
        <w:textAlignment w:val="baseline"/>
        <w:rPr>
          <w:rFonts w:ascii="inherit" w:eastAsia="Times New Roman" w:hAnsi="inherit" w:cs="Times New Roman"/>
          <w:b/>
          <w:bCs/>
          <w:color w:val="000000" w:themeColor="text1"/>
          <w:sz w:val="21"/>
          <w:szCs w:val="21"/>
          <w:bdr w:val="none" w:sz="0" w:space="0" w:color="auto" w:frame="1"/>
          <w:lang w:eastAsia="en-GB"/>
        </w:rPr>
      </w:pPr>
      <w:bookmarkStart w:id="4" w:name="two-four"/>
      <w:bookmarkEnd w:id="4"/>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proofErr w:type="gramStart"/>
      <w:r>
        <w:rPr>
          <w:rFonts w:ascii="inherit" w:eastAsia="Times New Roman" w:hAnsi="inherit" w:cs="Times New Roman"/>
          <w:b/>
          <w:bCs/>
          <w:color w:val="000000" w:themeColor="text1"/>
          <w:sz w:val="21"/>
          <w:szCs w:val="21"/>
          <w:bdr w:val="none" w:sz="0" w:space="0" w:color="auto" w:frame="1"/>
          <w:lang w:eastAsia="en-GB"/>
        </w:rPr>
        <w:t>2.</w:t>
      </w:r>
      <w:r w:rsidRPr="00E73406">
        <w:rPr>
          <w:rFonts w:ascii="inherit" w:eastAsia="Times New Roman" w:hAnsi="inherit" w:cs="Times New Roman"/>
          <w:b/>
          <w:bCs/>
          <w:color w:val="000000" w:themeColor="text1"/>
          <w:sz w:val="21"/>
          <w:szCs w:val="21"/>
          <w:bdr w:val="none" w:sz="0" w:space="0" w:color="auto" w:frame="1"/>
          <w:lang w:eastAsia="en-GB"/>
        </w:rPr>
        <w:t>4  Commissioning</w:t>
      </w:r>
      <w:proofErr w:type="gramEnd"/>
      <w:r w:rsidRPr="00E73406">
        <w:rPr>
          <w:rFonts w:ascii="inherit" w:eastAsia="Times New Roman" w:hAnsi="inherit" w:cs="Times New Roman"/>
          <w:b/>
          <w:bCs/>
          <w:color w:val="000000" w:themeColor="text1"/>
          <w:sz w:val="21"/>
          <w:szCs w:val="21"/>
          <w:bdr w:val="none" w:sz="0" w:space="0" w:color="auto" w:frame="1"/>
          <w:lang w:eastAsia="en-GB"/>
        </w:rPr>
        <w:t xml:space="preserve"> effective smoking cessation referral services</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Issue:</w:t>
      </w:r>
      <w:r w:rsidRPr="00E73406">
        <w:rPr>
          <w:rFonts w:ascii="inherit" w:eastAsia="Times New Roman" w:hAnsi="inherit" w:cs="Times New Roman"/>
          <w:color w:val="000000" w:themeColor="text1"/>
          <w:sz w:val="21"/>
          <w:szCs w:val="21"/>
          <w:lang w:eastAsia="en-GB"/>
        </w:rPr>
        <w:t> NHS stop smoking services provide clinically cost-effective ways for people to stop smoking. Initiation of attempts to support smoking cessation within secondary care settings do not always get followed through with adequate support on discharge.</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lastRenderedPageBreak/>
        <w:t>Suggested Action: </w:t>
      </w:r>
      <w:r w:rsidRPr="00E73406">
        <w:rPr>
          <w:rFonts w:ascii="inherit" w:eastAsia="Times New Roman" w:hAnsi="inherit" w:cs="Times New Roman"/>
          <w:color w:val="000000" w:themeColor="text1"/>
          <w:sz w:val="21"/>
          <w:szCs w:val="21"/>
          <w:lang w:eastAsia="en-GB"/>
        </w:rPr>
        <w:t>CCGs, area teams and local authorities to work together to ensure that referral to and support for stop smoking services are fundamental parts of pathways in and out of secondary care. CCGs could consider commissioning a national referral system.</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hyperlink r:id="rId17" w:tgtFrame="_blank" w:tooltip="Downlaod a copy of te factsheet on commissioning effective smoking cessation services" w:history="1">
        <w:r w:rsidRPr="00E73406">
          <w:rPr>
            <w:rFonts w:ascii="inherit" w:eastAsia="Times New Roman" w:hAnsi="inherit" w:cs="Times New Roman"/>
            <w:color w:val="000000" w:themeColor="text1"/>
            <w:sz w:val="21"/>
            <w:szCs w:val="21"/>
            <w:u w:val="single"/>
            <w:bdr w:val="none" w:sz="0" w:space="0" w:color="auto" w:frame="1"/>
            <w:lang w:eastAsia="en-GB"/>
          </w:rPr>
          <w:t>Factsheet on commissioning effective smoking cessation services</w:t>
        </w:r>
      </w:hyperlink>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bookmarkStart w:id="5" w:name="_GoBack"/>
      <w:bookmarkEnd w:id="5"/>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bookmarkStart w:id="6" w:name="two-five"/>
      <w:bookmarkEnd w:id="6"/>
      <w:r w:rsidRPr="00E73406">
        <w:rPr>
          <w:rFonts w:ascii="inherit" w:eastAsia="Times New Roman" w:hAnsi="inherit" w:cs="Times New Roman"/>
          <w:b/>
          <w:bCs/>
          <w:color w:val="000000" w:themeColor="text1"/>
          <w:sz w:val="21"/>
          <w:szCs w:val="21"/>
          <w:bdr w:val="none" w:sz="0" w:space="0" w:color="auto" w:frame="1"/>
          <w:lang w:eastAsia="en-GB"/>
        </w:rPr>
        <w:t>2.5   Management of excess alcohol consumption</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t>Further details are provided in the </w:t>
      </w:r>
      <w:hyperlink r:id="rId18" w:tooltip="5. Liver disease" w:history="1">
        <w:r w:rsidRPr="00E73406">
          <w:rPr>
            <w:rFonts w:ascii="inherit" w:eastAsia="Times New Roman" w:hAnsi="inherit" w:cs="Times New Roman"/>
            <w:color w:val="000000" w:themeColor="text1"/>
            <w:sz w:val="21"/>
            <w:szCs w:val="21"/>
            <w:u w:val="single"/>
            <w:bdr w:val="none" w:sz="0" w:space="0" w:color="auto" w:frame="1"/>
            <w:lang w:eastAsia="en-GB"/>
          </w:rPr>
          <w:t>section on liver disease</w:t>
        </w:r>
      </w:hyperlink>
      <w:r w:rsidRPr="00E73406">
        <w:rPr>
          <w:rFonts w:ascii="inherit" w:eastAsia="Times New Roman" w:hAnsi="inherit" w:cs="Times New Roman"/>
          <w:color w:val="000000" w:themeColor="text1"/>
          <w:sz w:val="21"/>
          <w:szCs w:val="21"/>
          <w:lang w:eastAsia="en-GB"/>
        </w:rPr>
        <w:t>.</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color w:val="000000" w:themeColor="text1"/>
          <w:sz w:val="21"/>
          <w:szCs w:val="21"/>
          <w:lang w:eastAsia="en-GB"/>
        </w:rPr>
        <w:br/>
      </w:r>
      <w:r w:rsidRPr="00E73406">
        <w:rPr>
          <w:rFonts w:ascii="inherit" w:eastAsia="Times New Roman" w:hAnsi="inherit" w:cs="Times New Roman"/>
          <w:b/>
          <w:bCs/>
          <w:color w:val="000000" w:themeColor="text1"/>
          <w:sz w:val="21"/>
          <w:szCs w:val="21"/>
          <w:bdr w:val="none" w:sz="0" w:space="0" w:color="auto" w:frame="1"/>
          <w:lang w:eastAsia="en-GB"/>
        </w:rPr>
        <w:br/>
      </w:r>
      <w:bookmarkStart w:id="7" w:name="two-six"/>
      <w:bookmarkEnd w:id="7"/>
      <w:r w:rsidRPr="00E73406">
        <w:rPr>
          <w:rFonts w:ascii="inherit" w:eastAsia="Times New Roman" w:hAnsi="inherit" w:cs="Times New Roman"/>
          <w:b/>
          <w:bCs/>
          <w:color w:val="000000" w:themeColor="text1"/>
          <w:sz w:val="21"/>
          <w:szCs w:val="21"/>
          <w:bdr w:val="none" w:sz="0" w:space="0" w:color="auto" w:frame="1"/>
          <w:lang w:eastAsia="en-GB"/>
        </w:rPr>
        <w:t>2.6   Improved detection and management of hypertension</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Issue:</w:t>
      </w:r>
      <w:r w:rsidRPr="00E73406">
        <w:rPr>
          <w:rFonts w:ascii="inherit" w:eastAsia="Times New Roman" w:hAnsi="inherit" w:cs="Times New Roman"/>
          <w:color w:val="000000" w:themeColor="text1"/>
          <w:sz w:val="21"/>
          <w:szCs w:val="21"/>
          <w:lang w:eastAsia="en-GB"/>
        </w:rPr>
        <w:t> High blood pressure is the second biggest risk factor of disease leading to premature mortality in the UK. About 30 percent of adults in England have high blood pressure, of whom an estimated 5 million are undiagnosed. Of those in treatment, almost 40 percent have not reduced their blood pressure enough to be deemed controlled. Hypertension prevalence is highest in the most deprived groups in society.</w:t>
      </w:r>
    </w:p>
    <w:p w:rsidR="00E73406" w:rsidRPr="00E73406" w:rsidRDefault="00E73406" w:rsidP="00E73406">
      <w:pPr>
        <w:spacing w:after="0" w:line="360" w:lineRule="atLeast"/>
        <w:textAlignment w:val="baseline"/>
        <w:rPr>
          <w:rFonts w:ascii="inherit" w:eastAsia="Times New Roman" w:hAnsi="inherit" w:cs="Times New Roman"/>
          <w:color w:val="000000" w:themeColor="text1"/>
          <w:sz w:val="21"/>
          <w:szCs w:val="21"/>
          <w:lang w:eastAsia="en-GB"/>
        </w:rPr>
      </w:pPr>
      <w:r w:rsidRPr="00E73406">
        <w:rPr>
          <w:rFonts w:ascii="inherit" w:eastAsia="Times New Roman" w:hAnsi="inherit" w:cs="Times New Roman"/>
          <w:b/>
          <w:bCs/>
          <w:color w:val="000000" w:themeColor="text1"/>
          <w:sz w:val="21"/>
          <w:szCs w:val="21"/>
          <w:bdr w:val="none" w:sz="0" w:space="0" w:color="auto" w:frame="1"/>
          <w:lang w:eastAsia="en-GB"/>
        </w:rPr>
        <w:t>Suggested Action:</w:t>
      </w:r>
      <w:r w:rsidRPr="00E73406">
        <w:rPr>
          <w:rFonts w:ascii="inherit" w:eastAsia="Times New Roman" w:hAnsi="inherit" w:cs="Times New Roman"/>
          <w:color w:val="000000" w:themeColor="text1"/>
          <w:sz w:val="21"/>
          <w:szCs w:val="21"/>
          <w:lang w:eastAsia="en-GB"/>
        </w:rPr>
        <w:t>  Consider promoting early diagnosis and following the principle of making every contact count. In addition, commissioners may wish to support audits of GP performance on hypertension and work with local public health services to address the known risk factors for hypertension (as per NICE clinical guidance 127 on hypertension, these are primarily addressing diet, physical activity, alcohol consumption and smoking).</w:t>
      </w:r>
    </w:p>
    <w:p w:rsidR="00797BBE" w:rsidRPr="00E73406" w:rsidRDefault="00E73406">
      <w:pPr>
        <w:rPr>
          <w:color w:val="000000" w:themeColor="text1"/>
        </w:rPr>
      </w:pPr>
    </w:p>
    <w:sectPr w:rsidR="00797BBE" w:rsidRPr="00E73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6389D"/>
    <w:multiLevelType w:val="multilevel"/>
    <w:tmpl w:val="564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B0FED"/>
    <w:multiLevelType w:val="multilevel"/>
    <w:tmpl w:val="55F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06"/>
    <w:rsid w:val="00827C92"/>
    <w:rsid w:val="00E73406"/>
    <w:rsid w:val="00E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C2B1"/>
  <w15:chartTrackingRefBased/>
  <w15:docId w15:val="{1156CF0A-64E0-4EAA-A8A6-9C64253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sop/red-prem-mort/php/" TargetMode="External"/><Relationship Id="rId13" Type="http://schemas.openxmlformats.org/officeDocument/2006/relationships/hyperlink" Target="http://www.nice.org.uk/guidance/ph49" TargetMode="External"/><Relationship Id="rId18" Type="http://schemas.openxmlformats.org/officeDocument/2006/relationships/hyperlink" Target="https://www.england.nhs.uk/ourwork/sop/red-prem-mort/ld/" TargetMode="External"/><Relationship Id="rId3" Type="http://schemas.openxmlformats.org/officeDocument/2006/relationships/settings" Target="settings.xml"/><Relationship Id="rId7" Type="http://schemas.openxmlformats.org/officeDocument/2006/relationships/hyperlink" Target="https://www.england.nhs.uk/ourwork/sop/red-prem-mort/php/" TargetMode="External"/><Relationship Id="rId12" Type="http://schemas.openxmlformats.org/officeDocument/2006/relationships/hyperlink" Target="https://www.england.nhs.uk/wp-content/uploads/2014/02/pm-fs-2-2.pdf" TargetMode="External"/><Relationship Id="rId17" Type="http://schemas.openxmlformats.org/officeDocument/2006/relationships/hyperlink" Target="https://www.england.nhs.uk/wp-content/uploads/2014/02/pm-fs-2-4.pdf" TargetMode="External"/><Relationship Id="rId2" Type="http://schemas.openxmlformats.org/officeDocument/2006/relationships/styles" Target="styles.xml"/><Relationship Id="rId16" Type="http://schemas.openxmlformats.org/officeDocument/2006/relationships/hyperlink" Target="https://www.england.nhs.uk/ourwork/sop/red-prem-mort/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ngland.nhs.uk/ourwork/sop/red-prem-mort/php/" TargetMode="External"/><Relationship Id="rId11" Type="http://schemas.openxmlformats.org/officeDocument/2006/relationships/hyperlink" Target="https://www.england.nhs.uk/ourwork/sop/red-prem-mort/php/" TargetMode="External"/><Relationship Id="rId5" Type="http://schemas.openxmlformats.org/officeDocument/2006/relationships/hyperlink" Target="http://www.instituteofhealthequity.org/projects/fair-society-healthy-lives-the-marmot-review" TargetMode="External"/><Relationship Id="rId15" Type="http://schemas.openxmlformats.org/officeDocument/2006/relationships/hyperlink" Target="https://www.gov.uk/government/publications/making-every-contact-count-mecc-practical-resources" TargetMode="External"/><Relationship Id="rId10" Type="http://schemas.openxmlformats.org/officeDocument/2006/relationships/hyperlink" Target="https://www.england.nhs.uk/ourwork/sop/red-prem-mort/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ourwork/sop/red-prem-mort/php/" TargetMode="External"/><Relationship Id="rId14" Type="http://schemas.openxmlformats.org/officeDocument/2006/relationships/hyperlink" Target="https://www.england.nhs.uk/wp-content/uploads/2016/04/making-every-contact-cou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2016-09-15T11:30:00Z</dcterms:created>
  <dcterms:modified xsi:type="dcterms:W3CDTF">2016-09-15T11:32:00Z</dcterms:modified>
</cp:coreProperties>
</file>